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5342">
      <w:pPr>
        <w:keepNext w:val="0"/>
        <w:keepLines w:val="0"/>
        <w:pageBreakBefore w:val="0"/>
        <w:widowControl w:val="0"/>
        <w:kinsoku/>
        <w:wordWrap/>
        <w:overflowPunct/>
        <w:topLinePunct w:val="0"/>
        <w:autoSpaceDE/>
        <w:autoSpaceDN/>
        <w:bidi w:val="0"/>
        <w:adjustRightInd/>
        <w:snapToGrid/>
        <w:spacing w:before="312" w:beforeLines="100" w:line="59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济钢保安公司原西院车队资产</w:t>
      </w:r>
    </w:p>
    <w:p w14:paraId="5F32B0C2">
      <w:pPr>
        <w:keepNext w:val="0"/>
        <w:keepLines w:val="0"/>
        <w:pageBreakBefore w:val="0"/>
        <w:widowControl w:val="0"/>
        <w:kinsoku/>
        <w:wordWrap/>
        <w:overflowPunct/>
        <w:topLinePunct w:val="0"/>
        <w:autoSpaceDE/>
        <w:autoSpaceDN/>
        <w:bidi w:val="0"/>
        <w:adjustRightInd/>
        <w:snapToGrid/>
        <w:spacing w:before="312" w:beforeLines="100" w:line="59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公开竞租公告</w:t>
      </w:r>
    </w:p>
    <w:p w14:paraId="35621883">
      <w:pPr>
        <w:keepNext w:val="0"/>
        <w:keepLines w:val="0"/>
        <w:pageBreakBefore w:val="0"/>
        <w:widowControl w:val="0"/>
        <w:kinsoku/>
        <w:wordWrap/>
        <w:overflowPunct/>
        <w:topLinePunct w:val="0"/>
        <w:autoSpaceDE/>
        <w:autoSpaceDN/>
        <w:bidi w:val="0"/>
        <w:adjustRightInd/>
        <w:snapToGrid/>
        <w:spacing w:before="312" w:beforeLines="100" w:line="580" w:lineRule="exact"/>
        <w:ind w:firstLine="5120" w:firstLineChars="16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招标编号： </w:t>
      </w:r>
    </w:p>
    <w:p w14:paraId="466EAE0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山东济钢保安服务有限公司水文片区，位于济南市烈士山北路6号。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现对该公司院内的环保厂办公楼、板房、场地等资产的使用权进行网上公开竞租，现将有关事项公告如下：</w:t>
      </w:r>
    </w:p>
    <w:p w14:paraId="7D17F9A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948"/>
        <w:gridCol w:w="1275"/>
        <w:gridCol w:w="1275"/>
        <w:gridCol w:w="1095"/>
        <w:gridCol w:w="1110"/>
      </w:tblGrid>
      <w:tr w14:paraId="54A6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14:paraId="4A6C7941">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14:paraId="61D1150D">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14:paraId="7D79B593">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14:paraId="3764AD9F">
            <w:pPr>
              <w:jc w:val="center"/>
              <w:rPr>
                <w:rFonts w:ascii="宋体" w:hAnsi="宋体" w:eastAsia="宋体"/>
                <w:color w:val="FF0000"/>
                <w:sz w:val="18"/>
                <w:szCs w:val="18"/>
              </w:rPr>
            </w:pPr>
            <w:r>
              <w:rPr>
                <w:rFonts w:hint="eastAsia" w:ascii="宋体" w:hAnsi="宋体" w:eastAsia="宋体"/>
                <w:sz w:val="18"/>
                <w:szCs w:val="18"/>
              </w:rPr>
              <w:t>资产名称</w:t>
            </w:r>
          </w:p>
        </w:tc>
        <w:tc>
          <w:tcPr>
            <w:tcW w:w="948" w:type="dxa"/>
            <w:noWrap w:val="0"/>
            <w:vAlign w:val="center"/>
          </w:tcPr>
          <w:p w14:paraId="57D2BF61">
            <w:pPr>
              <w:widowControl/>
              <w:jc w:val="center"/>
              <w:rPr>
                <w:rFonts w:hint="eastAsia" w:ascii="宋体" w:hAnsi="宋体" w:eastAsia="宋体"/>
                <w:sz w:val="18"/>
                <w:szCs w:val="18"/>
              </w:rPr>
            </w:pPr>
            <w:r>
              <w:rPr>
                <w:rFonts w:hint="eastAsia" w:ascii="宋体" w:hAnsi="宋体" w:eastAsia="宋体"/>
                <w:sz w:val="18"/>
                <w:szCs w:val="18"/>
              </w:rPr>
              <w:t>面积</w:t>
            </w:r>
          </w:p>
          <w:p w14:paraId="7C3C68DB">
            <w:pPr>
              <w:widowControl/>
              <w:jc w:val="center"/>
              <w:rPr>
                <w:rFonts w:ascii="宋体" w:hAnsi="宋体" w:eastAsia="宋体"/>
                <w:color w:val="FF0000"/>
                <w:kern w:val="0"/>
                <w:sz w:val="18"/>
                <w:szCs w:val="18"/>
              </w:rPr>
            </w:pPr>
            <w:r>
              <w:rPr>
                <w:rFonts w:hint="eastAsia" w:ascii="宋体" w:hAnsi="宋体" w:eastAsia="宋体" w:cs="Segoe UI Symbol"/>
                <w:sz w:val="18"/>
                <w:szCs w:val="18"/>
              </w:rPr>
              <w:t>㎡</w:t>
            </w:r>
          </w:p>
        </w:tc>
        <w:tc>
          <w:tcPr>
            <w:tcW w:w="1275" w:type="dxa"/>
            <w:noWrap w:val="0"/>
            <w:vAlign w:val="center"/>
          </w:tcPr>
          <w:p w14:paraId="1FACC4CE">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单价</w:t>
            </w:r>
          </w:p>
          <w:p w14:paraId="00225CB1">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（元/㎡/天）</w:t>
            </w:r>
          </w:p>
        </w:tc>
        <w:tc>
          <w:tcPr>
            <w:tcW w:w="1275" w:type="dxa"/>
            <w:noWrap w:val="0"/>
            <w:vAlign w:val="center"/>
          </w:tcPr>
          <w:p w14:paraId="5786D6B1">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14:paraId="46D843C0">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95" w:type="dxa"/>
            <w:noWrap w:val="0"/>
            <w:vAlign w:val="center"/>
          </w:tcPr>
          <w:p w14:paraId="7AC29528">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合计</w:t>
            </w:r>
          </w:p>
          <w:p w14:paraId="14C2D2A8">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（元/年）</w:t>
            </w:r>
          </w:p>
        </w:tc>
        <w:tc>
          <w:tcPr>
            <w:tcW w:w="1110" w:type="dxa"/>
            <w:noWrap w:val="0"/>
            <w:vAlign w:val="center"/>
          </w:tcPr>
          <w:p w14:paraId="47F59A92">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备注</w:t>
            </w:r>
          </w:p>
        </w:tc>
      </w:tr>
      <w:tr w14:paraId="73C1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restart"/>
            <w:noWrap w:val="0"/>
            <w:vAlign w:val="center"/>
          </w:tcPr>
          <w:p w14:paraId="6CA80049">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024" w:type="dxa"/>
            <w:vMerge w:val="restart"/>
            <w:noWrap w:val="0"/>
            <w:vAlign w:val="center"/>
          </w:tcPr>
          <w:p w14:paraId="77E69B9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14:paraId="6E92BDB1">
            <w:pPr>
              <w:widowControl/>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14:paraId="4FDFD3D9">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车队院西侧厂房4间、西北侧高低平房3间、东北侧平房共11间</w:t>
            </w:r>
          </w:p>
        </w:tc>
        <w:tc>
          <w:tcPr>
            <w:tcW w:w="948" w:type="dxa"/>
            <w:noWrap w:val="0"/>
            <w:vAlign w:val="center"/>
          </w:tcPr>
          <w:p w14:paraId="1E85493B">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718.57</w:t>
            </w:r>
          </w:p>
        </w:tc>
        <w:tc>
          <w:tcPr>
            <w:tcW w:w="1275" w:type="dxa"/>
            <w:noWrap w:val="0"/>
            <w:vAlign w:val="center"/>
          </w:tcPr>
          <w:p w14:paraId="781BF6A0">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0.67</w:t>
            </w:r>
          </w:p>
        </w:tc>
        <w:tc>
          <w:tcPr>
            <w:tcW w:w="1275" w:type="dxa"/>
            <w:noWrap w:val="0"/>
            <w:vAlign w:val="center"/>
          </w:tcPr>
          <w:p w14:paraId="1CADDAC5">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175726.29</w:t>
            </w:r>
          </w:p>
        </w:tc>
        <w:tc>
          <w:tcPr>
            <w:tcW w:w="1095" w:type="dxa"/>
            <w:vMerge w:val="restart"/>
            <w:noWrap w:val="0"/>
            <w:vAlign w:val="center"/>
          </w:tcPr>
          <w:p w14:paraId="6F4E3BC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337324.93</w:t>
            </w:r>
          </w:p>
        </w:tc>
        <w:tc>
          <w:tcPr>
            <w:tcW w:w="1110" w:type="dxa"/>
            <w:noWrap w:val="0"/>
            <w:vAlign w:val="center"/>
          </w:tcPr>
          <w:p w14:paraId="06F19C4A">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仓储</w:t>
            </w:r>
          </w:p>
          <w:p w14:paraId="237C74A0">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经营</w:t>
            </w:r>
          </w:p>
          <w:p w14:paraId="5C5A3C2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办公</w:t>
            </w:r>
          </w:p>
        </w:tc>
      </w:tr>
      <w:tr w14:paraId="0FF0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14:paraId="41B221C8">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14:paraId="23660636">
            <w:pPr>
              <w:jc w:val="center"/>
              <w:rPr>
                <w:rFonts w:hint="eastAsia" w:ascii="宋体" w:hAnsi="宋体" w:eastAsia="宋体" w:cs="宋体"/>
                <w:color w:val="auto"/>
                <w:sz w:val="18"/>
                <w:szCs w:val="18"/>
                <w:lang w:val="en-US" w:eastAsia="zh-CN"/>
              </w:rPr>
            </w:pPr>
          </w:p>
        </w:tc>
        <w:tc>
          <w:tcPr>
            <w:tcW w:w="752" w:type="dxa"/>
            <w:noWrap w:val="0"/>
            <w:vAlign w:val="center"/>
          </w:tcPr>
          <w:p w14:paraId="4317EBF1">
            <w:pPr>
              <w:widowControl/>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场地</w:t>
            </w:r>
          </w:p>
        </w:tc>
        <w:tc>
          <w:tcPr>
            <w:tcW w:w="1293" w:type="dxa"/>
            <w:noWrap w:val="0"/>
            <w:vAlign w:val="center"/>
          </w:tcPr>
          <w:p w14:paraId="5921540E">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车队院总场地</w:t>
            </w:r>
          </w:p>
        </w:tc>
        <w:tc>
          <w:tcPr>
            <w:tcW w:w="948" w:type="dxa"/>
            <w:noWrap w:val="0"/>
            <w:vAlign w:val="center"/>
          </w:tcPr>
          <w:p w14:paraId="32E62E8A">
            <w:pPr>
              <w:widowControl/>
              <w:jc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4427.36</w:t>
            </w:r>
          </w:p>
        </w:tc>
        <w:tc>
          <w:tcPr>
            <w:tcW w:w="1275" w:type="dxa"/>
            <w:noWrap w:val="0"/>
            <w:vAlign w:val="center"/>
          </w:tcPr>
          <w:p w14:paraId="62E1BCC5">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w:t>
            </w:r>
          </w:p>
        </w:tc>
        <w:tc>
          <w:tcPr>
            <w:tcW w:w="1275" w:type="dxa"/>
            <w:noWrap w:val="0"/>
            <w:vAlign w:val="center"/>
          </w:tcPr>
          <w:p w14:paraId="702C96B1">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161598.64</w:t>
            </w:r>
          </w:p>
        </w:tc>
        <w:tc>
          <w:tcPr>
            <w:tcW w:w="1095" w:type="dxa"/>
            <w:vMerge w:val="continue"/>
            <w:noWrap w:val="0"/>
            <w:vAlign w:val="center"/>
          </w:tcPr>
          <w:p w14:paraId="026723F7">
            <w:pPr>
              <w:jc w:val="center"/>
              <w:rPr>
                <w:rFonts w:hint="eastAsia" w:ascii="宋体" w:hAnsi="宋体" w:eastAsia="宋体" w:cs="宋体"/>
                <w:color w:val="auto"/>
                <w:sz w:val="18"/>
                <w:szCs w:val="18"/>
                <w:lang w:val="en-US" w:eastAsia="zh-CN"/>
              </w:rPr>
            </w:pPr>
          </w:p>
        </w:tc>
        <w:tc>
          <w:tcPr>
            <w:tcW w:w="1110" w:type="dxa"/>
            <w:noWrap w:val="0"/>
            <w:vAlign w:val="center"/>
          </w:tcPr>
          <w:p w14:paraId="4D509858">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仓储</w:t>
            </w:r>
          </w:p>
          <w:p w14:paraId="6290C19C">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停车</w:t>
            </w:r>
          </w:p>
        </w:tc>
      </w:tr>
    </w:tbl>
    <w:p w14:paraId="39B662F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7A8ECDD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250157D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1FFE1752">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2DD9ED8C">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09F3F49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0D1CCAE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3AC49BEB">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5CE5E90E">
      <w:pPr>
        <w:ind w:firstLine="562" w:firstLineChars="20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山东济钢保安服务有限公司</w:t>
      </w:r>
    </w:p>
    <w:p w14:paraId="7C138134">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6BE433C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不超过5年。</w:t>
      </w:r>
    </w:p>
    <w:p w14:paraId="696F068C">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1006361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14:paraId="5EADACB3">
      <w:pPr>
        <w:pStyle w:val="2"/>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r>
        <w:rPr>
          <w:rFonts w:hint="eastAsia" w:ascii="仿宋_GB2312" w:hAnsi="仿宋_GB2312" w:eastAsia="仿宋_GB2312" w:cs="仿宋_GB2312"/>
          <w:b w:val="0"/>
          <w:bCs w:val="0"/>
          <w:color w:val="000000"/>
          <w:sz w:val="28"/>
          <w:szCs w:val="28"/>
          <w:lang w:eastAsia="zh-CN"/>
        </w:rPr>
        <w:t>。</w:t>
      </w:r>
    </w:p>
    <w:p w14:paraId="3B9DFED8">
      <w:pPr>
        <w:adjustRightInd w:val="0"/>
        <w:snapToGrid w:val="0"/>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出租方已组织建筑物的安全鉴定，符合租赁条件。承租方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auto"/>
          <w:sz w:val="28"/>
          <w:szCs w:val="28"/>
        </w:rPr>
        <w:t>租赁期内</w:t>
      </w:r>
      <w:r>
        <w:rPr>
          <w:rFonts w:hint="eastAsia" w:ascii="仿宋_GB2312" w:hAnsi="仿宋_GB2312" w:eastAsia="仿宋_GB2312" w:cs="仿宋_GB2312"/>
          <w:color w:val="auto"/>
          <w:sz w:val="28"/>
          <w:szCs w:val="28"/>
          <w:lang w:val="en-US" w:eastAsia="zh-CN"/>
        </w:rPr>
        <w:t>出租方</w:t>
      </w:r>
      <w:r>
        <w:rPr>
          <w:rFonts w:hint="eastAsia" w:ascii="仿宋_GB2312" w:hAnsi="仿宋_GB2312" w:eastAsia="仿宋_GB2312" w:cs="仿宋_GB2312"/>
          <w:color w:val="auto"/>
          <w:sz w:val="28"/>
          <w:szCs w:val="28"/>
        </w:rPr>
        <w:t>负责租赁物主体结构加固维修并承担相应费用；</w:t>
      </w: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rPr>
        <w:t>负责除此之外其他相关事项并承担相应费用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因此造成的承租方损失，由承租方自行承担</w:t>
      </w:r>
      <w:r>
        <w:rPr>
          <w:rFonts w:hint="eastAsia" w:ascii="仿宋_GB2312" w:hAnsi="仿宋_GB2312" w:eastAsia="仿宋_GB2312" w:cs="仿宋_GB2312"/>
          <w:color w:val="auto"/>
          <w:sz w:val="28"/>
          <w:szCs w:val="28"/>
        </w:rPr>
        <w:t>租赁物使用期间的安全状态判别及隐患辨识整改；实施非</w:t>
      </w:r>
      <w:r>
        <w:rPr>
          <w:rFonts w:hint="eastAsia" w:ascii="仿宋_GB2312" w:hAnsi="仿宋_GB2312" w:eastAsia="仿宋_GB2312" w:cs="仿宋_GB2312"/>
          <w:color w:val="auto"/>
          <w:sz w:val="28"/>
          <w:szCs w:val="28"/>
          <w:lang w:eastAsia="zh-CN"/>
        </w:rPr>
        <w:t>出租</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要求而须增加、完善、改造、重置租赁物及其毗邻区域相关资产的事项等。</w:t>
      </w:r>
      <w:r>
        <w:rPr>
          <w:rFonts w:hint="eastAsia" w:ascii="仿宋_GB2312" w:hAnsi="仿宋_GB2312" w:eastAsia="仿宋_GB2312" w:cs="仿宋_GB2312"/>
          <w:color w:val="auto"/>
          <w:sz w:val="28"/>
          <w:szCs w:val="28"/>
          <w:lang w:val="en-US" w:eastAsia="zh-CN"/>
        </w:rPr>
        <w:t>承租方承担因不可抗力</w:t>
      </w:r>
      <w:r>
        <w:rPr>
          <w:rFonts w:hint="eastAsia" w:ascii="仿宋_GB2312" w:hAnsi="仿宋_GB2312" w:eastAsia="仿宋_GB2312" w:cs="仿宋_GB2312"/>
          <w:color w:val="auto"/>
          <w:sz w:val="28"/>
          <w:szCs w:val="28"/>
        </w:rPr>
        <w:t>能所造成的</w:t>
      </w:r>
      <w:r>
        <w:rPr>
          <w:rFonts w:hint="eastAsia" w:ascii="仿宋_GB2312" w:hAnsi="仿宋_GB2312" w:eastAsia="仿宋_GB2312" w:cs="仿宋_GB2312"/>
          <w:color w:val="auto"/>
          <w:sz w:val="28"/>
          <w:szCs w:val="28"/>
          <w:lang w:eastAsia="zh-CN"/>
        </w:rPr>
        <w:t>承租方</w:t>
      </w:r>
      <w:r>
        <w:rPr>
          <w:rFonts w:hint="eastAsia" w:ascii="仿宋_GB2312" w:hAnsi="仿宋_GB2312" w:eastAsia="仿宋_GB2312" w:cs="仿宋_GB2312"/>
          <w:color w:val="auto"/>
          <w:sz w:val="28"/>
          <w:szCs w:val="28"/>
        </w:rPr>
        <w:t>直接及间接损失。</w:t>
      </w:r>
    </w:p>
    <w:p w14:paraId="504A2160">
      <w:pPr>
        <w:pStyle w:val="2"/>
        <w:ind w:firstLine="560" w:firstLineChars="20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（四）租赁屋内的管道、设施属于出租方所有，承租方装修、改造前需书面通知出租方，双方清点确认签字，拆除后交由出租方处置。</w:t>
      </w:r>
    </w:p>
    <w:p w14:paraId="6BED193C">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0DD1882F">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2026年 1 月 13 日至2026年 1 月20</w:t>
      </w:r>
      <w:bookmarkStart w:id="0" w:name="_GoBack"/>
      <w:bookmarkEnd w:id="0"/>
      <w:r>
        <w:rPr>
          <w:rFonts w:hint="eastAsia" w:ascii="仿宋_GB2312" w:hAnsi="仿宋_GB2312" w:eastAsia="仿宋_GB2312" w:cs="仿宋_GB2312"/>
          <w:color w:val="auto"/>
          <w:sz w:val="28"/>
          <w:szCs w:val="28"/>
          <w:lang w:val="en-US" w:eastAsia="zh-CN"/>
        </w:rPr>
        <w:t xml:space="preserve"> 日；</w:t>
      </w:r>
    </w:p>
    <w:p w14:paraId="0AF9160A">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：2026年1月20日09:00时至2026年               1月20 日10:30时。</w:t>
      </w:r>
    </w:p>
    <w:p w14:paraId="4D6C7786">
      <w:pPr>
        <w:ind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竞拍方须在公告结束期前向出租方交纳竞租保证金5万元，未竞租成功单位退还到原账户，竞租成功单位双方签订合同后退还到原账户或经承租方申请转为履约保证金。</w:t>
      </w:r>
    </w:p>
    <w:p w14:paraId="5140EBB4">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094FE672">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5AB664B7">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50E46A7A">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5BAA44AC">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2A749857">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0CB1530F">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36A50E4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165E03B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677ACE3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142F301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120CC759">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4A559F5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4A20273E">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（二）在公告约定的竞租报价时间内，竞租人可以多次报价，以底价为基数，阶梯竞价为人民币10000元，最后截止时间的最高报价者为竞得人。</w:t>
      </w:r>
    </w:p>
    <w:p w14:paraId="7B5D7770">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3D04138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济钢集团《不动产管理及经营实施细则》和相关要求，在资产评估值的基础上，按照市场化原则确定出租价格，拟定租赁最低价格不低于市场价值评估的单位租金*面积*天数。最终以实际招拍挂、签订合同的价格为准，房屋租金在竞租成交价基础上，自第二年起每年递增3%。</w:t>
      </w:r>
    </w:p>
    <w:p w14:paraId="0815D818">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274D3A1C">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14:paraId="17924A71">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1.租赁费（人民币）：车队院西侧厂房4间、车队院西北侧高低平房3间、车队院东北侧平房共11间0.67元/㎡/天，场地0.1元/㎡/天，年租赁费比照上年度租赁费每年递增 3%，以上含税，税率9%；</w:t>
      </w:r>
      <w:r>
        <w:rPr>
          <w:rFonts w:hint="eastAsia" w:ascii="仿宋_GB2312" w:eastAsia="仿宋_GB2312" w:cs="Times New Roman"/>
          <w:b w:val="0"/>
          <w:bCs w:val="0"/>
          <w:color w:val="auto"/>
          <w:kern w:val="2"/>
          <w:sz w:val="28"/>
          <w:szCs w:val="28"/>
          <w:highlight w:val="none"/>
          <w:u w:val="none"/>
          <w:lang w:val="en-US" w:eastAsia="zh-CN" w:bidi="ar-SA"/>
        </w:rPr>
        <w:t>管理费4312元/年，含税，税率6%，出租方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开具发票</w:t>
      </w:r>
      <w:r>
        <w:rPr>
          <w:rFonts w:hint="eastAsia" w:ascii="仿宋_GB2312" w:eastAsia="仿宋_GB2312" w:cs="Times New Roman"/>
          <w:b w:val="0"/>
          <w:bCs w:val="0"/>
          <w:color w:val="auto"/>
          <w:kern w:val="2"/>
          <w:sz w:val="28"/>
          <w:szCs w:val="28"/>
          <w:highlight w:val="none"/>
          <w:u w:val="none"/>
          <w:lang w:val="en-US" w:eastAsia="zh-CN" w:bidi="ar-SA"/>
        </w:rPr>
        <w:t>。</w:t>
      </w:r>
    </w:p>
    <w:p w14:paraId="6CA741FC">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每半年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管理费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首年前半年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管理费170818.47元</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后续每年 1 月 5日、6月5日前支付下一半年度租赁费、管理费。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付款后</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p>
    <w:p w14:paraId="585B4B07">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val="en-US" w:eastAsia="zh-CN"/>
        </w:rPr>
        <w:t>0.88</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14:paraId="575C585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14:paraId="0E779AC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安全消防环保抵押金共计5万元，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14:paraId="6C4B329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14:paraId="5694AB2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14:paraId="0B031F5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14:paraId="30AC67C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14:paraId="4E4D42A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14:paraId="3988774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14:paraId="11DE7F2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14:paraId="0F63586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14:paraId="7F6510F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14:paraId="1D7C28B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14:paraId="218A394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14:paraId="24F95723">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14:paraId="4280C738">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14:paraId="6DF7B4F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14:paraId="086626E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14:paraId="12CDD24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14:paraId="3F702E12">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612C3A3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14:paraId="22CCC93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14:paraId="24A7B793">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14:paraId="0008C68A">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14:paraId="5F28D904">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14:paraId="5687700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14:paraId="06CAC93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w:t>
      </w:r>
      <w:r>
        <w:rPr>
          <w:rFonts w:hint="eastAsia" w:ascii="仿宋_GB2312" w:hAnsi="仿宋_GB2312" w:eastAsia="仿宋_GB2312" w:cs="仿宋_GB2312"/>
          <w:color w:val="auto"/>
          <w:sz w:val="28"/>
          <w:szCs w:val="28"/>
          <w:highlight w:val="none"/>
          <w:lang w:val="en-US" w:eastAsia="zh-CN"/>
        </w:rPr>
        <w:t>出租方已收取的租赁费，履约保证金、安全风险抵押金不予退还。</w:t>
      </w:r>
    </w:p>
    <w:p w14:paraId="00B4448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w:t>
      </w:r>
      <w:r>
        <w:rPr>
          <w:rFonts w:hint="eastAsia" w:ascii="仿宋_GB2312" w:hAnsi="仿宋_GB2312" w:eastAsia="仿宋_GB2312" w:cs="仿宋_GB2312"/>
          <w:color w:val="auto"/>
          <w:sz w:val="28"/>
          <w:szCs w:val="28"/>
          <w:highlight w:val="none"/>
          <w:lang w:eastAsia="zh-CN"/>
        </w:rPr>
        <w:t>出租方</w:t>
      </w:r>
      <w:r>
        <w:rPr>
          <w:rFonts w:hint="eastAsia" w:ascii="仿宋_GB2312" w:eastAsia="仿宋_GB2312"/>
          <w:sz w:val="28"/>
          <w:szCs w:val="28"/>
        </w:rPr>
        <w:t>。若乙方未提前</w:t>
      </w:r>
      <w:r>
        <w:rPr>
          <w:rFonts w:hint="eastAsia" w:ascii="仿宋_GB2312" w:eastAsia="仿宋_GB2312"/>
          <w:sz w:val="28"/>
          <w:szCs w:val="28"/>
          <w:lang w:val="en-US" w:eastAsia="zh-CN"/>
        </w:rPr>
        <w:t>3</w:t>
      </w:r>
      <w:r>
        <w:rPr>
          <w:rFonts w:hint="eastAsia" w:ascii="仿宋_GB2312" w:eastAsia="仿宋_GB2312"/>
          <w:sz w:val="28"/>
          <w:szCs w:val="28"/>
        </w:rPr>
        <w:t>个月书面通知</w:t>
      </w:r>
      <w:r>
        <w:rPr>
          <w:rFonts w:hint="eastAsia" w:ascii="仿宋_GB2312" w:eastAsia="仿宋_GB2312"/>
          <w:sz w:val="28"/>
          <w:szCs w:val="28"/>
          <w:lang w:val="en-US" w:eastAsia="zh-CN"/>
        </w:rPr>
        <w:t>出租方</w:t>
      </w:r>
      <w:r>
        <w:rPr>
          <w:rFonts w:hint="eastAsia" w:ascii="仿宋_GB2312" w:eastAsia="仿宋_GB2312"/>
          <w:sz w:val="28"/>
          <w:szCs w:val="28"/>
        </w:rPr>
        <w:t>并单方面终止本合同，则需向甲方支付</w:t>
      </w:r>
      <w:r>
        <w:rPr>
          <w:rFonts w:hint="eastAsia" w:ascii="仿宋_GB2312" w:eastAsia="仿宋_GB2312"/>
          <w:sz w:val="28"/>
          <w:szCs w:val="28"/>
          <w:lang w:val="en-US" w:eastAsia="zh-CN"/>
        </w:rPr>
        <w:t>3</w:t>
      </w:r>
      <w:r>
        <w:rPr>
          <w:rFonts w:hint="eastAsia" w:ascii="仿宋_GB2312" w:eastAsia="仿宋_GB2312"/>
          <w:sz w:val="28"/>
          <w:szCs w:val="28"/>
        </w:rPr>
        <w:t>个月租赁费</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val="en-US" w:eastAsia="zh-CN"/>
        </w:rPr>
        <w:t>双方协商一致签订《合同终止协议》，协商不一致合同继续履行</w:t>
      </w:r>
      <w:r>
        <w:rPr>
          <w:rFonts w:hint="eastAsia" w:ascii="仿宋_GB2312" w:hAnsi="仿宋_GB2312" w:eastAsia="仿宋_GB2312" w:cs="仿宋_GB2312"/>
          <w:color w:val="auto"/>
          <w:sz w:val="28"/>
          <w:szCs w:val="28"/>
          <w:highlight w:val="none"/>
        </w:rPr>
        <w:t>。</w:t>
      </w:r>
    </w:p>
    <w:p w14:paraId="51E3141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14:paraId="076174C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14:paraId="013BBC4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14:paraId="53CB95DD">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14:paraId="70CA66D7">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14:paraId="1899999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14:paraId="194CB5B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14:paraId="102F447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14:paraId="6DFD39B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14:paraId="6C6F72F5">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14:paraId="43747EEC">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14:paraId="60B90DE5">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14:paraId="77D1C272">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14:paraId="2C3947C7">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14:paraId="15257B1C">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14:paraId="08D5632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14:paraId="6CBC64C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14:paraId="5240788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14:paraId="7862A38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14:paraId="5D8A96D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本合同项下发生的争议，由双方当事人协商解决；协商不成的，由山东济钢保安服务有限公司</w:t>
      </w:r>
      <w:r>
        <w:rPr>
          <w:rFonts w:hint="eastAsia" w:ascii="仿宋_GB2312" w:hAnsi="Times New Roman" w:eastAsia="仿宋_GB2312" w:cs="Times New Roman"/>
          <w:b w:val="0"/>
          <w:bCs w:val="0"/>
          <w:color w:val="auto"/>
          <w:kern w:val="2"/>
          <w:sz w:val="28"/>
          <w:szCs w:val="28"/>
          <w:highlight w:val="none"/>
          <w:lang w:val="en-US" w:eastAsia="zh-CN" w:bidi="ar-SA"/>
        </w:rPr>
        <w:t>所在地</w:t>
      </w:r>
      <w:r>
        <w:rPr>
          <w:rFonts w:hint="eastAsia" w:ascii="仿宋_GB2312" w:hAnsi="仿宋_GB2312" w:eastAsia="仿宋_GB2312" w:cs="仿宋_GB2312"/>
          <w:color w:val="auto"/>
          <w:sz w:val="28"/>
          <w:szCs w:val="28"/>
          <w:highlight w:val="none"/>
          <w:lang w:val="en-US" w:eastAsia="zh-CN"/>
        </w:rPr>
        <w:t>人民法院管辖。</w:t>
      </w:r>
    </w:p>
    <w:p w14:paraId="09CF09BA">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14:paraId="021A2BB3">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联系电话：0531-68650826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61E6"/>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2A0082"/>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2F76244"/>
    <w:rsid w:val="031A03B4"/>
    <w:rsid w:val="032729AE"/>
    <w:rsid w:val="03592716"/>
    <w:rsid w:val="038720C2"/>
    <w:rsid w:val="0397343B"/>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6D568E"/>
    <w:rsid w:val="0A6E0787"/>
    <w:rsid w:val="0A762E91"/>
    <w:rsid w:val="0A7E3AF3"/>
    <w:rsid w:val="0AA1130D"/>
    <w:rsid w:val="0AAB3295"/>
    <w:rsid w:val="0ABB0ECA"/>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0F25FF"/>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7A1573"/>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652FB"/>
    <w:rsid w:val="24970463"/>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21236A"/>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7935C6"/>
    <w:rsid w:val="29821136"/>
    <w:rsid w:val="29AD5EDE"/>
    <w:rsid w:val="29B669AE"/>
    <w:rsid w:val="29C410CB"/>
    <w:rsid w:val="29D53B9A"/>
    <w:rsid w:val="29E01E51"/>
    <w:rsid w:val="2A186006"/>
    <w:rsid w:val="2A24600D"/>
    <w:rsid w:val="2A27165A"/>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02C46"/>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B67DFF"/>
    <w:rsid w:val="3EEC3CBA"/>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792184"/>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5E721C"/>
    <w:rsid w:val="4D6346CA"/>
    <w:rsid w:val="4D782049"/>
    <w:rsid w:val="4D9F3131"/>
    <w:rsid w:val="4DCA28A4"/>
    <w:rsid w:val="4DF071E5"/>
    <w:rsid w:val="4DF72F6D"/>
    <w:rsid w:val="4E173610"/>
    <w:rsid w:val="4E1D6E49"/>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4A182D"/>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013E7"/>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91B30"/>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565B4"/>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3E2561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A0351"/>
    <w:rsid w:val="7B3057E6"/>
    <w:rsid w:val="7B3B7A9B"/>
    <w:rsid w:val="7B694BFB"/>
    <w:rsid w:val="7B8E0149"/>
    <w:rsid w:val="7BA47397"/>
    <w:rsid w:val="7BAC2E0F"/>
    <w:rsid w:val="7BB76648"/>
    <w:rsid w:val="7BE73D72"/>
    <w:rsid w:val="7BEF1D70"/>
    <w:rsid w:val="7BF5023D"/>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5447</Words>
  <Characters>5665</Characters>
  <Lines>0</Lines>
  <Paragraphs>0</Paragraphs>
  <TotalTime>15</TotalTime>
  <ScaleCrop>false</ScaleCrop>
  <LinksUpToDate>false</LinksUpToDate>
  <CharactersWithSpaces>5716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侯继娥</cp:lastModifiedBy>
  <dcterms:modified xsi:type="dcterms:W3CDTF">2026-01-13T02:39:14Z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497ED0EF70874D83AA344BB051A38B24</vt:lpwstr>
  </property>
  <property fmtid="{D5CDD505-2E9C-101B-9397-08002B2CF9AE}" pid="4" name="KSOTemplateDocerSaveRecord">
    <vt:lpwstr>eyJoZGlkIjoiOTViNDc4NzQ1OWQxZGQ2YjIxNjJlNDc0MDQ3Y2UzY2YiLCJ1c2VySWQiOiI0NDI4NjczODkifQ==</vt:lpwstr>
  </property>
</Properties>
</file>